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المبدأ السابع عشر- مخاطر الائتمان: تتأكد السلطة الرقابية أن يكون لدى المصارف </w:t>
      </w:r>
    </w:p>
    <w:p>
      <w:pPr/>
      <w:r>
        <w:rPr>
          <w:shd w:val="clear" w:fill="eeee80"/>
        </w:rPr>
        <w:t xml:space="preserve">إجراءات ملائمة لإدارة مخاطر الائتمان،</w:t>
      </w:r>
    </w:p>
    <w:p>
      <w:pPr/>
      <w:r>
        <w:rPr>
          <w:shd w:val="clear" w:fill="eeee80"/>
        </w:rPr>
        <w:t xml:space="preserve">هذه المصارف،</w:t>
      </w:r>
    </w:p>
    <w:p>
      <w:pPr/>
      <w:r>
        <w:rPr>
          <w:shd w:val="clear" w:fill="eeee80"/>
        </w:rPr>
        <w:t xml:space="preserve"> وطبيعة المخاطر،</w:t>
      </w:r>
    </w:p>
    <w:p>
      <w:pPr/>
      <w:r>
        <w:rPr>
          <w:shd w:val="clear" w:fill="eeee80"/>
        </w:rPr>
        <w:t xml:space="preserve"> وأوضاع السوق والاقتصاد لديها.</w:t>
      </w:r>
    </w:p>
    <w:p>
      <w:pPr/>
      <w:r>
        <w:rPr>
          <w:shd w:val="clear" w:fill="eeee80"/>
        </w:rPr>
        <w:t xml:space="preserve"> ويشمل ذلك </w:t>
      </w:r>
    </w:p>
    <w:p>
      <w:pPr/>
      <w:r>
        <w:rPr>
          <w:shd w:val="clear" w:fill="eeee80"/>
        </w:rPr>
        <w:t xml:space="preserve">المقابل) وقياسها وتقييمها ومراقبتها والإبلاغ عنها والسيطرة عليها أو الحد منها في الوقت المناسب.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2026-08-21T02:48:35+00:00</dcterms:created>
  <dcterms:modified xsi:type="dcterms:W3CDTF">2026-08-21T02:48:35+00:00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