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فتحة . الأنف اليمني</w:t>
      </w:r>
    </w:p>
    <w:p>
      <w:pPr/>
      <w:r>
        <w:rPr>
          <w:shd w:val="clear" w:fill="eeee80"/>
        </w:rPr>
        <w:t xml:space="preserve">البناء</w:t>
      </w:r>
    </w:p>
    <w:p>
      <w:pPr/>
      <w:r>
        <w:rPr>
          <w:shd w:val="clear" w:fill="eeee80"/>
        </w:rPr>
        <w:t xml:space="preserve">الفراغي</w:t>
      </w:r>
    </w:p>
    <w:p>
      <w:pPr/>
      <w:r>
        <w:rPr/>
        <w:t xml:space="preserve">التفكير غير.اللفظي</w:t>
      </w:r>
    </w:p>
    <w:p>
      <w:pPr/>
      <w:r>
        <w:rPr>
          <w:shd w:val="clear" w:fill="eeee80"/>
        </w:rPr>
        <w:t xml:space="preserve">اليد اليسرى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2026-10-21T16:34:40+00:00</dcterms:created>
  <dcterms:modified xsi:type="dcterms:W3CDTF">2026-10-21T16:34:40+00:00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