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Active engagement in pharmacology-related activities beyond the required curriculum entails seeking out opportunities for practical application, research exploration, and professional development in the field.</w:t>
      </w:r>
    </w:p>
    <w:p>
      <w:pPr/>
      <w:r>
        <w:rPr/>
        <w:t xml:space="preserve"> To address why only Aspirin, among all nonsteroidal anti-inflammatory drugs (NSAIDs), can be used as an antiplatelet agent, I would undertake the following steps: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2026-10-13T07:48:43+00:00</dcterms:created>
  <dcterms:modified xsi:type="dcterms:W3CDTF">2026-10-13T07:48:43+00:00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