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Carbapenem-resistant Enterobacterales (CRE) is an urgent publichealth threat of significant global concern that accounted formore than 1100 deaths per the 2019 CDC report for antibioticresistance.1 CRE is associated with higher mortality rate, withan approximately 2-fold increase in mortality compared withinfections with carbapenem-susceptible Enterobacterales.2Carbapenemases produced by CRE have been classified intothree different groups according to Ambler classification: classA [e.g. Klebsiella pneumoniae carbapenemase (KPC)], class B orMBL (e.g. VIM) and class D [e.g. oxacillinase (OXA-48)].2,3 Localdata that describe the molecular epidemiology of CRE in SaudiArabia found that OXA-48 accounted for 71.2% (n = 292) of410 carbapenemase-producing CRE isolates, followed by NDM(n = 85; 20.7%) and NDM + OXA-48 (n = 33; 8%).4 The Author(s) 2022. Published by Oxford University Press on behalf of British Society for Antimicrobial Chemotherapy.</w:t>
      </w:r>
    </w:p>
    <w:p>
      <w:pPr/>
      <w:r>
        <w:rPr>
          <w:shd w:val="clear" w:fill="eeee80"/>
        </w:rPr>
        <w:t xml:space="preserve">This is an Open Access article distributed under the terms of the Creative Commons Attribution License (https://creativecommons.org/licenses/by/4.0/), which permits unrestricted reuse, distribution, and reproduction in any medium, provided the original work is properly cited.</w:t>
      </w:r>
    </w:p>
    <w:p>
      <w:pPr/>
      <w:r>
        <w:rPr/>
        <w:t xml:space="preserve">1Downloaded from https://academic.oup.com/jacamr/article/4/5/dlac104/6757026 by guest on 19 August 2025Alqahtani et al.The new β-lactam/β-lactamase inhibitors have gained significantinterest for their favourable outcomes in terms of clinicalefficacy and safety profile.5 Ceftazidime/avibactam is a combinationof a third-generation cephalosporin, ceftazidime, and thenovel, non-β-lactam β-lactamase inhibitor avibactam, whichpossesses the ability to treat carbapenemase-producing CRE(CP-CRE).5 Ceftazidime/avibactam was approved by the FDA in2015 for complicated urinary tract infections (cUTIs), complicatedintra-abdominal infections (cIAIs) and, in 2018, for thetreatment of hospital-acquired pneumonia (HAP) and ventilator-associated pneumonia (VAP).6Few observational studies have evaluated the clinical outcomesfor treatment of CP-CRE harbouring OXA-48 with ceftazidime/avibactam.7,8Findings of these studies showed lower30 day mortality with ceftazidime/avibactam ranging between8.3% and 22%.7,8 Notably, the small sample size of both studieswould affect its generalizability and increase the value in otherstudies with larger sample sizes.</w:t>
      </w:r>
    </w:p>
    <w:p>
      <w:pPr/>
      <w:r>
        <w:rPr>
          <w:shd w:val="clear" w:fill="eeee80"/>
        </w:rPr>
        <w:t xml:space="preserve">Considering the high prevalence of Gram-negative resistantpathogens, particularly CP-CRE, at our institution,9 the aim ofthis study was to evaluate the clinical efficacy of ceftazidime/avibactamfor treatment of CP-CRE harbouring OXA-48 and/or NDM.</w:t>
      </w:r>
    </w:p>
    <w:p>
      <w:pPr/>
      <w:r>
        <w:rPr/>
        <w:t xml:space="preserve">MethodsStudy design and settingThis was a retrospective, observational, single-centre study conducted atKing Abdulaziz Medical City (KAMC) from January 2018 to November2020. KAMC is a Joint Commission International (JCI)-accredited1500-bed tertiary care academic medical centre in Riyadh, Saudi Arabia.Study populationThe inclusion criteria of patients were if they were adults (age ≥18 years)and had received ceftazidime/avibactam alone or in combination for≥72 h as treatment of a confirmed infection secondary to CP-CRE witha detected gene encoding for carbapenemase production. At least oneisolate was collected and isolated from each case for microbiologicalanalysis. All patients were stratified into two groups: those who had receivedceftazidime/avibactam alone (monotherapy group) and thosewho had combination therapy added to ceftazidime/avibactam for treatmentof CP-CRE as per definition (combination therapy group). </w:t>
      </w:r>
    </w:p>
    <w:p>
      <w:pPr/>
      <w:r>
        <w:rPr>
          <w:shd w:val="clear" w:fill="eeee80"/>
        </w:rPr>
        <w:t xml:space="preserve">Patientswith polymicrobial infections and those who did not receive aztreonamin combination with ceftazidime/avibactam for CP-CRE encoded withNDM were excluded.</w:t>
      </w:r>
    </w:p>
    <w:p>
      <w:pPr/>
      <w:r>
        <w:rPr/>
        <w:t xml:space="preserve"> The study was approved by the institutional reviewboard at King Abdullah International Medical Research Center (KAIMRC).Clinical data were collected from electronic medical records andde-identified for further review. Relevant information, including demographicdata, baseline comorbidities, Charlson comorbidity index, infectionand treatment-related variables, was recorded.Microbiological testsMicrobiological tests for bacterial identification and susceptibility testingwere performed in the laboratory department in accordance withCLSI protocols. Susceptibility tests were conducted by an automatedsusceptibility testing system via the VITEK 2 system (bioMérieux,Marcy-l’Étoile, France). Per local microbiology lab protocol, isolates were subjectedfor further work-up when susceptibility tests showed resistance toertapenem, meropenem or imipenem/cilastatin, defined as when MICsare at the resistance cut-off of the susceptibility breakpoints determinedby CLSI protocol (≥1 mg/L for meropenem and imipenem/cilastatin and2≥0.5 mg/L for ertapenem). Such isolates would undergo PCR-based testingto identify the presence of any gene coding for carbapenemase productionand thus classified as CP-CRE. Ceftazidime/avibactam MICs were determinedby Etest (bioMérieux). </w:t>
      </w:r>
    </w:p>
    <w:p>
      <w:pPr/>
      <w:r>
        <w:rPr>
          <w:shd w:val="clear" w:fill="eeee80"/>
        </w:rPr>
        <w:t xml:space="preserve">Broth microdilution was used to determine colistinMICs.</w:t>
      </w:r>
    </w:p>
    <w:p>
      <w:pPr/>
      <w:r>
        <w:rPr/>
        <w:t xml:space="preserve"> The results were interpreted in accordance with the CLSI clinicalbreakpoints (≤2 mg/L interpreted as susceptible or intermediately susceptible,after recent updates of CLSI in 2020).</w:t>
      </w:r>
    </w:p>
    <w:p>
      <w:pPr/>
      <w:r>
        <w:rPr>
          <w:shd w:val="clear" w:fill="eeee80"/>
        </w:rPr>
        <w:t xml:space="preserve"> Carbapenemase gene contentwas detected using the GeneXpert Carba-R PCR assays (Cepheid,Sunnyvale, CA, USA) targeting blaKPC, blaOXA-48-like, blaVIM, blaNDM and blaIMP.</w:t>
      </w:r>
    </w:p>
    <w:p>
      <w:pPr/>
      <w:r>
        <w:rPr/>
        <w:t xml:space="preserve">Antimicrobial therapyCeftazidime/avibactam is a restricted medication at KAMC for critical care,haematology/oncology and infectious disease (ID), and it can be dispensedfor 72 h without an ID approval. Therapy with ceftazidime/avibactamwas usually started by the primary treating physician, which wasoften followed by an ID consultation. </w:t>
      </w:r>
    </w:p>
    <w:p>
      <w:pPr/>
      <w:r>
        <w:rPr>
          <w:shd w:val="clear" w:fill="eeee80"/>
        </w:rPr>
        <w:t xml:space="preserve">Dosage set was 2.5 g every 8 h tobe infused over 2 h. Other antibiotics that were frequently used as a combinationtherapy for CP-CRE were colistin, amikacin, gentamicin, tigecyclineand aztreonam.</w:t>
      </w:r>
    </w:p>
    <w:p>
      <w:pPr/>
      <w:r>
        <w:rPr/>
        <w:t xml:space="preserve">DefinitionsThe infection source was determined based on the CDC/NationalHealthcare Safety Network criteria. </w:t>
      </w:r>
    </w:p>
    <w:p>
      <w:pPr/>
      <w:r>
        <w:rPr>
          <w:shd w:val="clear" w:fill="eeee80"/>
        </w:rPr>
        <w:t xml:space="preserve">Treatment regimens were classifiedas monotherapy (treatment with ceftazidime/avibactam alone) or combinationtherapy, defined as the addition of other IV antimicrobials within vitro activity against the clinical isolate or the addition of aztreonamto ceftazidime/avibactam for isolates with NDM genes detected.</w:t>
      </w:r>
    </w:p>
    <w:p>
      <w:pPr/>
      <w:r>
        <w:rPr/>
        <w:t xml:space="preserve">Concomitant treatment with metronidazole (when required for anaerobiccoverage) was not considered as combination therapy. </w:t>
      </w:r>
    </w:p>
    <w:p>
      <w:pPr/>
      <w:r>
        <w:rPr>
          <w:shd w:val="clear" w:fill="eeee80"/>
        </w:rPr>
        <w:t xml:space="preserve">Acute kidney injury(AKI) was defined as an increase in serum creatinine by 0.3 mg/dLover 48 h or a reduction in urine output to 0.5 mL/kg/h over 6 h.OutcomesPrimary outcomes were determined to be clinical cure at completion oftherapy and 30 day mortality rate.</w:t>
      </w:r>
    </w:p>
    <w:p>
      <w:pPr/>
      <w:r>
        <w:rPr/>
        <w:t xml:space="preserve"> For the secondary outcomes, 60 daymortality and relapse rate within 30 days of completion of ceftazidime/avibactam therapy for primary infection were determined. Safety outcomesinclude development of adverse drug reactions related toceftazidime/avibactam. Clinical cure was defined as clinical improvementwith no signs or symptoms of systemic infection (absence of fever,leucocytosis and elevated inflammatory markers) at the completion oftherapy. Relapse was defined as reinfection with the same organismwithin 30 days after completion of ceftazidime/avibactam therapy. sA total of 233 confirmed infections with CRE were identified betweenJanuary 2018 and November 2020. Twenty-two patientswere excluded for not fully meeting the inclusion criteria. A totalof 211 patients received ceftazidime/avibactam for CP-CRE infectionduring the study period (Figure 1).For those who received ceftazidime/avibactam as monotherapy(n = 119), the average age was 66 years and the majorityof these were male (55.6%). Combination therapy was prescribedfor 92 patients (61% male) with an average age of 56 years. HTNand DM followed by heart disease were the most frequently seencomorbidities in monotherapy and combination therapy groups[(70% versus 48%; P = 0.015); (69% versus 49%; P = 0.031);(54% versus 48%; P = 0.259)], respectively. There were 61(51.3%) patients with a Charlson index score of 5 or higher inthe monotherapy group and 36 (39%) in the combination group(P = 0.08). </w:t>
      </w:r>
    </w:p>
    <w:p>
      <w:pPr/>
      <w:r>
        <w:rPr>
          <w:shd w:val="clear" w:fill="eeee80"/>
        </w:rPr>
        <w:t xml:space="preserve">Infection biochemical markers, including leucocytosis,elevated procalcitonin, high erythrocyte sedimentation rate andC-reactive protein, were elevated in both groups with no statisticallysignificant differences (Table 1).</w:t>
      </w:r>
    </w:p>
    <w:p>
      <w:pPr/>
      <w:r>
        <w:rPr/>
        <w:t xml:space="preserve">Compared with the monotherapy group, more patients in thecombination group were in ICUs when cultures were collected(61% versus 43%; P = 0.025). The number of patients receivinginvasive MV and vasopressors was significantly higher in the combinationgroup compared with the monotherapy group (55% versus39%; P = 0.021 and 46% versus 32.8%; P = 0.051, respectively).The most frequently isolated pathogens from 211 patientswere K. pneumoniae (189/211; 90%), Escherichia coli (9/211,4.3%) and Enterobacter spp. </w:t>
      </w:r>
    </w:p>
    <w:p>
      <w:pPr/>
      <w:r>
        <w:rPr>
          <w:shd w:val="clear" w:fill="eeee80"/>
        </w:rPr>
        <w:t xml:space="preserve">(9/211; 4.3%).</w:t>
      </w:r>
    </w:p>
    <w:p>
      <w:pPr/>
      <w:r>
        <w:rPr/>
        <w:t xml:space="preserve"> </w:t>
      </w:r>
    </w:p>
    <w:p>
      <w:pPr/>
      <w:r>
        <w:rPr>
          <w:shd w:val="clear" w:fill="eeee80"/>
        </w:rPr>
        <w:t xml:space="preserve">The majority of collectedspecimens were from the respiratory tract (sputum, trachealaspirate, bronchoalveolar lavage) (31.3%), followed byurine (27.5%) and blood (25.6%).</w:t>
      </w:r>
    </w:p>
    <w:p>
      <w:pPr/>
      <w:r>
        <w:rPr/>
        <w:t xml:space="preserve"> More than 80% of isolates(171/211; 81%) carried OXA-48 genes, followed by NDM ±OXA-48 (40/211; 19%). Ceftazidime/avibactam susceptibilitywas done for 76 isolates (44 and 32 in the monotherapy groupand combination groups, respectively); these were all susceptibleand carried the OXA-48 gene. Pneumonia (HAP and VAP) was themost frequently encountered ID (31.3%) followed by UTIs (26.5%)and bacteraemia (25.6%) (Figure 2). </w:t>
      </w:r>
    </w:p>
    <w:p>
      <w:pPr/>
      <w:r>
        <w:rPr>
          <w:shd w:val="clear" w:fill="eeee80"/>
        </w:rPr>
        <w:t xml:space="preserve">The appropriateness of ceftazidime/avibactamdosing was observed in 77.7% of the total cohort;however, 6% received higher doses since they weredetermined to have resolved AKI secondary to sepsis, and 17% receivedlower doses than recommended.</w:t>
      </w:r>
    </w:p>
    <w:p>
      <w:pPr/>
      <w:r>
        <w:rPr/>
        <w:t xml:space="preserve"> The median time betweenidentifying CP-CRE and ceftazidime/avibactam initiationwas 24 h in both groups. The mean duration of ceftazidime/avibactamtherapy was prolonged in combination therapy (17 versus14 days; P = 0.08). Combination therapy was prescribed for 92 patients,45% of whom received aztreonam; 27%, colistin; 20%, gentamicin;and the remaining received tigecycline (17.4%) andamikacin (11%) (Table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2026-08-23T04:33:07+00:00</dcterms:created>
  <dcterms:modified xsi:type="dcterms:W3CDTF">2026-08-23T04:33:07+00:00</dcterms:modified>
</cp:coreProperties>
</file>

<file path=docProps/custom.xml><?xml version="1.0" encoding="utf-8"?>
<Properties xmlns="http://schemas.openxmlformats.org/officeDocument/2006/custom-properties" xmlns:vt="http://schemas.openxmlformats.org/officeDocument/2006/docPropsVTypes"/>
</file>