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Initial SettingsThis mode of ventilation only require to sit the patients’ IdealBody Weight (IBW) for the ventilator to calculate and determine theneeded volume also the clinician chose the patients gender, PEEP,high pressure alarm which is set10 cm H2o above the limit and finally,the clinician set the minute ventilation % (MV%) according to therecommended support needed depending on the lung pathology asshown in (Table 1).</w:t>
      </w:r>
    </w:p>
    <w:p>
      <w:pPr/>
      <w:r>
        <w:rPr>
          <w:shd w:val="clear" w:fill="eeee80"/>
        </w:rPr>
        <w:t xml:space="preserve">Mode ManagementThere are many published method of ASV mode management bymeans of reducing the MV%.</w:t>
      </w:r>
    </w:p>
    <w:p>
      <w:pPr/>
      <w:r>
        <w:rPr/>
        <w:t xml:space="preserve"> </w:t>
      </w:r>
    </w:p>
    <w:p>
      <w:pPr/>
      <w:r>
        <w:rPr>
          <w:shd w:val="clear" w:fill="eeee80"/>
        </w:rPr>
        <w:t xml:space="preserve">However, there is no enough evidenceto support the implementation of one against the other.</w:t>
      </w:r>
    </w:p>
    <w:p>
      <w:pPr/>
      <w:r>
        <w:rPr/>
        <w:t xml:space="preserve"> Studiesrecommend weaning the MV% once the patients’ condition isimproving [4], while others found no difference in patients’ outcomesonce compared between weaning it or not [5].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2026-10-21T04:33:26+00:00</dcterms:created>
  <dcterms:modified xsi:type="dcterms:W3CDTF">2026-10-21T04:33:26+00:00</dcterms:modified>
</cp:coreProperties>
</file>

<file path=docProps/custom.xml><?xml version="1.0" encoding="utf-8"?>
<Properties xmlns="http://schemas.openxmlformats.org/officeDocument/2006/custom-properties" xmlns:vt="http://schemas.openxmlformats.org/officeDocument/2006/docPropsVTypes"/>
</file>