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الموازنة العامة لھا دور في الحیاة الاقتصادیة للدولة التي " تتدخل في توجیھ الاقتصاد </w:t>
      </w:r>
    </w:p>
    <w:p>
      <w:pPr/>
      <w:r>
        <w:rPr>
          <w:shd w:val="clear" w:fill="eeee80"/>
        </w:rPr>
        <w:t xml:space="preserve">فبرزت أھمیة الموازنة كأداة لتحقیق أھداف السیاسة الاقتصادیة للدولة،</w:t>
      </w:r>
    </w:p>
    <w:p>
      <w:pPr/>
      <w:r>
        <w:rPr>
          <w:shd w:val="clear" w:fill="eeee80"/>
        </w:rPr>
        <w:t xml:space="preserve"> ففي حالة الكساد تتدخل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2026-09-13T10:15:48+00:00</dcterms:created>
  <dcterms:modified xsi:type="dcterms:W3CDTF">2026-09-13T10:15:48+00:00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