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فوائد روؤس الاموال : ان روؤس الاموال التي يملكها الاشخاص الطبيعيون او المعنويون او حتى الدولة من الممكن ان تدر الاموال عن طريق اقراضها للغير او عن طريق ايداعها في البنوك او مكاتب البريد او غيرها .</w:t>
      </w:r>
    </w:p>
    <w:p>
      <w:pPr/>
      <w:r>
        <w:rPr/>
        <w:t xml:space="preserve"> ويتلقون مقابل ذلك الفوائد التي يتوقف مقدارها على كل من قيمة المبلغ، المدة، معدل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2026-10-15T06:04:15+00:00</dcterms:created>
  <dcterms:modified xsi:type="dcterms:W3CDTF">2026-10-15T06:04:15+00:00</dcterms:modified>
</cp:coreProperties>
</file>

<file path=docProps/custom.xml><?xml version="1.0" encoding="utf-8"?>
<Properties xmlns="http://schemas.openxmlformats.org/officeDocument/2006/custom-properties" xmlns:vt="http://schemas.openxmlformats.org/officeDocument/2006/docPropsVTypes"/>
</file>