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تشير النتائج إلى أن إدراك ممارسي العلاقات العامة في المنظمات السعودية للقيم الأخلاقية يتفاوت.</w:t>
      </w:r>
    </w:p>
    <w:p>
      <w:pPr/>
      <w:r>
        <w:rPr>
          <w:shd w:val="clear" w:fill="eeee80"/>
        </w:rPr>
        <w:t xml:space="preserve">1% من العينة الحياد فيما يتعلق بالممارسات الأخلاقية في المهنة.</w:t>
      </w:r>
    </w:p>
    <w:p>
      <w:pPr/>
      <w:r>
        <w:rPr/>
        <w:t xml:space="preserve"> وعند الحديث عن تبرير الوسائل لتحسين صورة المنظمة،</w:t>
      </w:r>
    </w:p>
    <w:p>
      <w:pPr/>
      <w:r>
        <w:rPr>
          <w:shd w:val="clear" w:fill="eeee80"/>
        </w:rPr>
        <w:t xml:space="preserve">7% على ذلك بينما رفض نفس النسبة،</w:t>
      </w:r>
    </w:p>
    <w:p>
      <w:pPr/>
      <w:r>
        <w:rPr/>
        <w:t xml:space="preserve"> هذا يعكس تباينًا في مستويات الإدراك الأخلاقي.8% موافقتهم على أن "البقاء للأقوى" في مجال العلاقات العامة، ووافق 71% على أن تزوير المعلومات يضر بالمنظمة والصالح العام، بالإضافة إلى ذلك، اتفق 90% من العينة على أن التستر على الفساد يعد جريمة يعاقب عليها القانون،</w:t>
      </w:r>
    </w:p>
    <w:p>
      <w:pPr/>
      <w:r>
        <w:rPr>
          <w:shd w:val="clear" w:fill="eeee80"/>
        </w:rPr>
        <w:t xml:space="preserve"> مما يدل على ارتفاع الوعي الأخلاقي لدى ممارسي العلاقات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2026-09-22T16:05:47+00:00</dcterms:created>
  <dcterms:modified xsi:type="dcterms:W3CDTF">2026-09-22T16:05:47+00:00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