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ConclusionAl-Maqrizi’s analysis of economic decline during the Mamluk period provides a profound understanding of how government mismanagement, corruption, and flawed policies can lead to financial crises. </w:t>
      </w:r>
    </w:p>
    <w:p>
      <w:pPr/>
      <w:r>
        <w:rPr>
          <w:shd w:val="clear" w:fill="eeee80"/>
        </w:rPr>
        <w:t xml:space="preserve">His observations highlight the destructive effects of currency debasement, excessive taxation, and market distortions, which resulted in inflation, social inequality, and economic stagnation.</w:t>
      </w:r>
    </w:p>
    <w:p>
      <w:pPr/>
      <w:r>
        <w:rPr/>
        <w:t xml:space="preserve">To counter these issues, he proposed a series of reforms emphasizing fair taxation, monetary stability, agricultural development, government accountability, and regulated yet free markets. His advocacy for a sound fiscal policy, ethical governance, and economic transparency demonstrates his forward-thinking approach to economic stability.Al-Maqrizi’s work remains highly relevant today, as modern economies continue to grapple with similar challenges such as inflation, income inequality, and government corruption. His ideas serve as a reminder that sustainable economic policies must be built on principles of fairness, efficiency, and responsible governance to ensure long-term prosperity.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2026-08-30T04:46:33+00:00</dcterms:created>
  <dcterms:modified xsi:type="dcterms:W3CDTF">2026-08-30T04:46:33+00:00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