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first stanza, the speaker observes the signs of a country day drawing to a close: a curfew bell ringing, a herd of cattle moving across the pasture, and a farm laborer returning home. </w:t>
      </w:r>
    </w:p>
    <w:p>
      <w:pPr/>
      <w:r>
        <w:rPr>
          <w:shd w:val="clear" w:fill="eeee80"/>
        </w:rPr>
        <w:t xml:space="preserve">The speaker is then left alone to contemplate the isolated rural scene.</w:t>
      </w:r>
    </w:p>
    <w:p>
      <w:pPr/>
      <w:r>
        <w:rPr/>
        <w:t xml:space="preserve"> The first line of the poem sets a distinctly somber tone: the curfew bell does not simply ring; it "knells" a term usually applied to bells rung at a death or funeral. From the start, then, Gray reminds us of human mortality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2026-10-16T03:32:49+00:00</dcterms:created>
  <dcterms:modified xsi:type="dcterms:W3CDTF">2026-10-16T03:32:49+00:00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