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ظهور فن النقائض</w:t>
      </w:r>
    </w:p>
    <w:p>
      <w:pPr/>
      <w:r>
        <w:rPr/>
        <w:t xml:space="preserve"> وازدهر في الأدب العباسي، استلزمه الجدل السياسي والقبلي والاجتماعي والأدبي، ونبغ فبه كثير من الشعراء كجرير والفرزدق والأخطل، وهو أن يقول أحدهم فصيدة في موضوع وغالبًا ما يكون الفخر أو الهجاء، فيهب الآخر للرد على الشاعر والأخذ بالثار،</w:t>
      </w:r>
    </w:p>
    <w:p>
      <w:pPr/>
      <w:r>
        <w:rPr>
          <w:shd w:val="clear" w:fill="eeee80"/>
        </w:rPr>
        <w:t xml:space="preserve"> فينظم قصيجة في الموضوع ذاته وعلى نمط القصيدة الأولى وزنًا وقافية،</w:t>
      </w:r>
    </w:p>
    <w:p>
      <w:pPr/>
      <w:r>
        <w:rPr/>
        <w:t xml:space="preserve"> ينقض فيها معاني الشاعر الأزل وكل مواطن فخره،</w:t>
      </w:r>
    </w:p>
    <w:p>
      <w:pPr/>
      <w:r>
        <w:rPr>
          <w:shd w:val="clear" w:fill="eeee80"/>
        </w:rPr>
        <w:t xml:space="preserve"> وقد ظهر أثر النقائض في ازدهارالحركة النقدية واضحًا في أن كل شاعر منهم التف حوله فريق من المعجبين بشعره،</w:t>
      </w:r>
    </w:p>
    <w:p>
      <w:pPr/>
      <w:r>
        <w:rPr/>
        <w:t xml:space="preserve"> يحاولون أن يظهروا للناس محاسنة وأسباب تفوقه،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2026-10-20T08:44:12+00:00</dcterms:created>
  <dcterms:modified xsi:type="dcterms:W3CDTF">2026-10-20T08:44:12+00:00</dcterms:modified>
</cp:coreProperties>
</file>

<file path=docProps/custom.xml><?xml version="1.0" encoding="utf-8"?>
<Properties xmlns="http://schemas.openxmlformats.org/officeDocument/2006/custom-properties" xmlns:vt="http://schemas.openxmlformats.org/officeDocument/2006/docPropsVTypes"/>
</file>