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اهتم العرب بالبحث الخطابي والنقدي بعد نزول القرآن الكريم،</w:t>
      </w:r>
    </w:p>
    <w:p>
      <w:pPr/>
      <w:r>
        <w:rPr>
          <w:shd w:val="clear" w:fill="eeee80"/>
        </w:rPr>
        <w:t xml:space="preserve"> و نشأة علم البلاغة وأشهر الكتب ومؤلفيها مع انتشار والإسلام والدعوة إلى كافة الدول القريبة من شبه الجزيرة العربية،</w:t>
      </w:r>
    </w:p>
    <w:p>
      <w:pPr/>
      <w:r>
        <w:rPr>
          <w:shd w:val="clear" w:fill="eeee80"/>
        </w:rPr>
        <w:t xml:space="preserve"> اهتم العلماء العرب بدراسة القرآن وتفسيره،</w:t>
      </w:r>
    </w:p>
    <w:p>
      <w:pPr/>
      <w:r>
        <w:rPr>
          <w:shd w:val="clear" w:fill="eeee80"/>
        </w:rPr>
        <w:t xml:space="preserve"> وكان العرب مهتمين أيضًا بتجميع لغتهم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2026-11-05T21:29:14+00:00</dcterms:created>
  <dcterms:modified xsi:type="dcterms:W3CDTF">2026-11-05T21:29:14+00:00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