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Materials have to operate and perform in widely varied environments andsituations.</w:t>
      </w:r>
    </w:p>
    <w:p>
      <w:pPr/>
      <w:r>
        <w:rPr/>
        <w:t xml:space="preserve"> The requirements of safety and reliability demand that the materialsand components should perform well in their environments and situations withoutpremature failure. </w:t>
      </w:r>
    </w:p>
    <w:p>
      <w:pPr/>
      <w:r>
        <w:rPr>
          <w:shd w:val="clear" w:fill="eeee80"/>
        </w:rPr>
        <w:t xml:space="preserve">There are a number of factors and processes which can causethe failure of materials.</w:t>
      </w:r>
    </w:p>
    <w:p>
      <w:pPr/>
      <w:r>
        <w:rPr/>
        <w:t xml:space="preserve"> As premature failure of critical components can bedisastrous in many situations apart from being a cause for lost production and badreputation, it is essential to understand and control these causes of failure.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2026-10-25T09:51:03+00:00</dcterms:created>
  <dcterms:modified xsi:type="dcterms:W3CDTF">2026-10-25T09:51:03+00:00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