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مادة (544) يحدد موضوعها.المرسوم التشريعي رقم 08-93 المؤرخ في 25 أبريل 1993) تعتبر شركات التضامن شركات ذات مسؤولية محدودة وشركات ذات</w:t>
      </w:r>
    </w:p>
    <w:p>
      <w:pPr/>
      <w:r>
        <w:rPr>
          <w:shd w:val="clear" w:fill="eeee80"/>
        </w:rPr>
        <w:t xml:space="preserve">الشركات ذات المسؤولية المحدودة والشركات المساهمة التجارية بشكلها وأيا كان موضوعها.</w:t>
      </w:r>
    </w:p>
    <w:p>
      <w:pPr/>
      <w:r>
        <w:rPr/>
        <w:t xml:space="preserve">مادة (545) : تنشأ الشركة بعقد رسمي وإلا بطلت.لا يجوز قبول أي دليل بين الشركاء يزيد أو يتعارض مع مضمون عقد الشركة.ويجوز لشخص آخر أن يثبت وجود الشركة بجميع الوسائل عند الضرورة.مادة (546) : يحدد شكل الشركة ومدتها بما لا يتجاوز 99 سنة و.ويحدد موضوعها ومقدار رأسمالها في نظامها الأساسي.المادة 547: موطن الشركة هو المركز الرئيسي للشركة.تخضع الشركات التي تمارس أنشطتها في الجزائر للتشريع الجزائري.المادة 548: يجب إيداع عقود التأسيس والعقود المعدلة للشركات التجارية لدى المركز الوطني للحفظيتم نشر المستندات التجارية حسب الظروف الخاصة بكل شكل من أشكال الشركة،مادة549: لا تتمتع الشركة بالشخصية الاعتبارية إلا من تاريخ قيدها في السجل الجاري.يجب أن يكون الأشخاص الذين تعهدوا نيابة عن الشركة ولحسابها هم: دون تحديد الأمور محل الاهتمام،وتأسيسها قانونياً لتأخذ على عاتقها التعهدات المتخذة.وتعتبر التعهدات تعهدات الشركة منذ تأسيسها.مادة (550) يجب نشر حل الشركة بنفس الشروط والأحكام المنصوص عليها في عقد التأسيس نفسه.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2026-10-20T22:39:01+00:00</dcterms:created>
  <dcterms:modified xsi:type="dcterms:W3CDTF">2026-10-20T22:39:01+00:00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