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2 diabetes mellitus (T2DM) is a chronic metabolic disorder defined by persistent hyperglycemia due to insulin resistance and progressive β-cell dysfunction, in contrast to type 1 diabetes mellitus (T1DM), which stems from autoimmune destruction of pancreatic β-cells. </w:t>
      </w:r>
    </w:p>
    <w:p>
      <w:pPr/>
      <w:r>
        <w:rPr>
          <w:shd w:val="clear" w:fill="eeee80"/>
        </w:rPr>
        <w:t xml:space="preserve">The multifactorial nature of T2DM includes genetic predisposition, obesity, physical inactivity, chronic inflammation, and gut microbiome dysregulation (5,8,9).</w:t>
      </w:r>
    </w:p>
    <w:p>
      <w:pPr/>
      <w:r>
        <w:rPr/>
        <w:t xml:space="preserve"> The interplay between insulin resistance and β-cell failure worsens glycemic control over time (5,8).Globally, T2DM affects over 400 million people, with rising prevalence linked to aging, urbanization, and obesity (7). </w:t>
      </w:r>
    </w:p>
    <w:p>
      <w:pPr/>
      <w:r>
        <w:rPr>
          <w:shd w:val="clear" w:fill="eeee80"/>
        </w:rPr>
        <w:t xml:space="preserve">It incurs significant healthcare costs due to complications, including microvascular issues (retinopathy, nephropathy, neuropathy) and macrovascular complications (atherosclerosis, cardiovascular diseases) (5,8).</w:t>
      </w:r>
    </w:p>
    <w:p>
      <w:pPr/>
      <w:r>
        <w:rPr/>
        <w:t xml:space="preserve"> Additionally, comorbidities like obesity and nonalcoholic fatty liver disease are common among patients (2,5,9).Management strategies include lifestyle interventions, such as dietary changes and regular physical activity, along with cognitive-behavioral therapy to support adherence (7,8). Pharmacologically, metformin is the first-line agent, with SGLT2 inhibitors and GLP-1 receptor agonists as advanced therapies. Other agents target specific comorbidities or complications as needed (7-8). Surgical options like bariatric surgery are effective for obese individuals where choice of procedure and patient factors (age, baseline HbA1c, diabetes duration) influence outcomes (6-9). </w:t>
      </w:r>
    </w:p>
    <w:p>
      <w:pPr/>
      <w:r>
        <w:rPr>
          <w:shd w:val="clear" w:fill="eeee80"/>
        </w:rPr>
        <w:t xml:space="preserve">Technology, such as continuous glucose monitoring, plays a role in improving patient management, while research continues on emerging therapies and personalized medicine approaches to enhance treatment outcomes (4,8).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2026-08-21T20:08:00+00:00</dcterms:created>
  <dcterms:modified xsi:type="dcterms:W3CDTF">2026-08-21T20:08:00+00:00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