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 له تأثير كبير على مستوى العالم العربي والدولي أيضًا.  كان لشيخ زايد دور بارز في تعزيز الوحدة العربية وتعزيز التعاون بين الدول العربية.  كان يسعى جاهدًا للمساهمة في تحقيق الاستقرار والتنمية في المنطقة،  كان يساهم بشكل كبير في الجهود الإنسانية والخيرية حول العالم،  وكان يشجع على التعاون الدولي لمكافحة الفقر وتحقيق التنمية المستدامة.  يمكن القول إن دور الشيخ زايد بن سلطان ال نهيان كان حيويًا ومؤثرًا على مستوى محلي وعربي ودولي،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2026-10-19T02:19:09+00:00</dcterms:created>
  <dcterms:modified xsi:type="dcterms:W3CDTF">2026-10-19T02:19:09+00:00</dcterms:modified>
</cp:coreProperties>
</file>

<file path=docProps/custom.xml><?xml version="1.0" encoding="utf-8"?>
<Properties xmlns="http://schemas.openxmlformats.org/officeDocument/2006/custom-properties" xmlns:vt="http://schemas.openxmlformats.org/officeDocument/2006/docPropsVTypes"/>
</file>