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La Souverainete سيادة</w:t>
      </w:r>
    </w:p>
    <w:p>
      <w:pPr/>
      <w:r>
        <w:rPr>
          <w:shd w:val="clear" w:fill="eeee80"/>
        </w:rPr>
        <w:t xml:space="preserve">تتمتع الدولة بالسيادة وتستأثر بها.</w:t>
      </w:r>
    </w:p>
    <w:p>
      <w:pPr/>
      <w:r>
        <w:rPr>
          <w:shd w:val="clear" w:fill="eeee80"/>
        </w:rPr>
        <w:t xml:space="preserve"> ومعنى تمتعها بهذه الصفة،</w:t>
      </w:r>
    </w:p>
    <w:p>
      <w:pPr/>
      <w:r>
        <w:rPr>
          <w:shd w:val="clear" w:fill="eeee80"/>
        </w:rPr>
        <w:t xml:space="preserve"> أنها منبع السلطات الأخرى،</w:t>
      </w:r>
    </w:p>
    <w:p>
      <w:pPr/>
      <w:r>
        <w:rPr>
          <w:shd w:val="clear" w:fill="eeee80"/>
        </w:rPr>
        <w:t xml:space="preserve"> فهي أصلية ولصيقة بالدولة وصفة عامة للسلطة السياسية فيها.</w:t>
      </w:r>
    </w:p>
    <w:p>
      <w:pPr/>
      <w:r>
        <w:rPr/>
        <w:t xml:space="preserve"> وهي التي تميزها عن غيرها من الجماعات السياسية الأخرى .</w:t>
      </w:r>
    </w:p>
    <w:p>
      <w:pPr/>
      <w:r>
        <w:rPr>
          <w:shd w:val="clear" w:fill="eeee80"/>
        </w:rPr>
        <w:t xml:space="preserve"> ومن هنا فالسيادة ليست حقيقة طبيعية مستقلة،</w:t>
      </w:r>
    </w:p>
    <w:p>
      <w:pPr/>
      <w:r>
        <w:rPr>
          <w:shd w:val="clear" w:fill="eeee80"/>
        </w:rPr>
        <w:t xml:space="preserve"> وإنما هي مفهوم بمقتضاء يقوم الناس بتطبيقه والتمتع به بشكل متساو نتيجة احترام الجميع للسلطة بما تتمتع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2026-09-22T05:47:09+00:00</dcterms:created>
  <dcterms:modified xsi:type="dcterms:W3CDTF">2026-09-22T05:47:09+00:00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