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الفقرة الثانية: الحكمة من ذكر الوجه الشريف () في الآية:</w:t>
      </w:r>
    </w:p>
    <w:p>
      <w:pPr/>
      <w:r>
        <w:rPr>
          <w:shd w:val="clear" w:fill="eeee80"/>
        </w:rPr>
        <w:t xml:space="preserve">الحكمة من ذلك أن دلالة إقامة الوجه كناية عن توجيه العقل بالكلية إلى طلب الدين؛</w:t>
      </w:r>
    </w:p>
    <w:p>
      <w:pPr/>
      <w:r>
        <w:rPr>
          <w:shd w:val="clear" w:fill="eeee80"/>
        </w:rPr>
        <w:t xml:space="preserve"> لأن من يريد أن ينظر إلى شيء نظر بالاستقصاء؛</w:t>
      </w:r>
    </w:p>
    <w:p>
      <w:pPr/>
      <w:r>
        <w:rPr/>
        <w:t xml:space="preserve"> لأنه لو صرفه عنه،</w:t>
      </w:r>
    </w:p>
    <w:p>
      <w:pPr/>
      <w:r>
        <w:rPr>
          <w:shd w:val="clear" w:fill="eeee80"/>
        </w:rPr>
        <w:t xml:space="preserve"> وإذا بطلت تلك المقابلة،</w:t>
      </w:r>
    </w:p>
    <w:p>
      <w:pPr/>
      <w:r>
        <w:rPr>
          <w:shd w:val="clear" w:fill="eeee80"/>
        </w:rPr>
        <w:t xml:space="preserve"> فقد اختل الإبصار،</w:t>
      </w:r>
    </w:p>
    <w:p>
      <w:pPr/>
      <w:r>
        <w:rPr>
          <w:shd w:val="clear" w:fill="eeee80"/>
        </w:rPr>
        <w:t xml:space="preserve"> فلهذا السبب جعل حسن إقامة الوجه للدين كناية عن صرف العقل بالكلية إلى طلب الدين (۲) ،</w:t>
      </w:r>
    </w:p>
    <w:p>
      <w:pPr/>
      <w:r>
        <w:rPr>
          <w:shd w:val="clear" w:fill="eeee80"/>
        </w:rPr>
        <w:t xml:space="preserve"> وخص الوجه بالذكر : لأنه أشرف الأعضاء،</w:t>
      </w:r>
    </w:p>
    <w:p>
      <w:pPr/>
      <w:r>
        <w:rPr>
          <w:shd w:val="clear" w:fill="eeee80"/>
        </w:rPr>
        <w:t xml:space="preserve"> وعدم التحول عنها (۳) ،</w:t>
      </w:r>
    </w:p>
    <w:p>
      <w:pPr/>
      <w:r>
        <w:rPr>
          <w:shd w:val="clear" w:fill="eeee80"/>
        </w:rPr>
        <w:t xml:space="preserve"> وإقامة الوجه للدين هنا : عبارة عن التوجه فيه إلى الله تعالى وحده في الدعاء دون غيره ،</w:t>
      </w:r>
    </w:p>
    <w:p>
      <w:pPr/>
      <w:r>
        <w:rPr>
          <w:shd w:val="clear" w:fill="eeee80"/>
        </w:rPr>
        <w:t xml:space="preserve"> والمراد به توجه القلب،</w:t>
      </w:r>
    </w:p>
    <w:p>
      <w:pPr/>
      <w:r>
        <w:rPr>
          <w:shd w:val="clear" w:fill="eeee80"/>
        </w:rPr>
        <w:t xml:space="preserve"> ومثله إسلام الوجه الله .</w:t>
      </w:r>
    </w:p>
    <w:p>
      <w:pPr/>
      <w:r>
        <w:rPr>
          <w:shd w:val="clear" w:fill="eeee80"/>
        </w:rPr>
        <w:t xml:space="preserve"> وكذا توجيه الوجه الحسي إلى القبلة في آياتها وهو الأصل في اللغة،</w:t>
      </w:r>
    </w:p>
    <w:p>
      <w:pPr/>
      <w:r>
        <w:rPr>
          <w:shd w:val="clear" w:fill="eeee80"/>
        </w:rPr>
        <w:t xml:space="preserve"> والمراد به وجه الإنسان،</w:t>
      </w:r>
    </w:p>
    <w:p>
      <w:pPr/>
      <w:r>
        <w:rPr/>
        <w:t xml:space="preserve"> وإقامة الوجه للدين كناية،</w:t>
      </w:r>
    </w:p>
    <w:p>
      <w:pPr/>
      <w:r>
        <w:rPr>
          <w:shd w:val="clear" w:fill="eeee80"/>
        </w:rPr>
        <w:t xml:space="preserve"> والكناية: وهي أن يتكلم بشيء يستدل به على ( المكني ) عنه كالرفث و الغائط و ( الكنية ( اسم يطلق على الشخص للتعظيم ونحوه (٢)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2026-10-20T10:39:43+00:00</dcterms:created>
  <dcterms:modified xsi:type="dcterms:W3CDTF">2026-10-20T10:39:43+00:00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