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فقد تكون هناك حالات مَرَضية أخرى مثل الصدفية تشبه العدوى الفطرية للظفر.</w:t>
      </w:r>
    </w:p>
    <w:p>
      <w:pPr/>
      <w:r>
        <w:rPr>
          <w:shd w:val="clear" w:fill="eeee80"/>
        </w:rPr>
        <w:t xml:space="preserve"> ويمكن أن تسبب الكائنات الدقيقة مثل الخميرة والبكتيريا العدوى للأظافر أيضًا.</w:t>
      </w:r>
    </w:p>
    <w:p>
      <w:pPr/>
      <w:r>
        <w:rPr>
          <w:shd w:val="clear" w:fill="eeee80"/>
        </w:rPr>
        <w:t xml:space="preserve"> وتساعد معرفة سبب العدوى على تحديد العلاج الأفضل.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2026-11-08T19:05:15+00:00</dcterms:created>
  <dcterms:modified xsi:type="dcterms:W3CDTF">2026-11-08T19:05:15+00:00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