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Excluded Risks Unless Otherwise Agreed: These are specified in the second paragraph of Article 35 and Article 39, such as inherent defects in the insured object and foreign wars.These risks are generally excluded but can be insured if the parties agree otherwise.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