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تؤثر التغيرات الاجتماعية في المدن والمناطق الحضرية على انماط سلوك السكان وعاداتهم وتؤثر أيضا على التركيب المهني والاقتصادي للسكان،</w:t>
      </w:r>
    </w:p>
    <w:p>
      <w:pPr/>
      <w:r>
        <w:rPr>
          <w:shd w:val="clear" w:fill="eeee80"/>
        </w:rPr>
        <w:t xml:space="preserve"> والتحول الاجتماعي و الاقتصادي مثل ظهور الطبقة الوسطى في الدول الرأسمالية،</w:t>
      </w:r>
    </w:p>
    <w:p>
      <w:pPr/>
      <w:r>
        <w:rPr>
          <w:shd w:val="clear" w:fill="eeee80"/>
        </w:rPr>
        <w:t xml:space="preserve"> كما تؤثر التغيرات الاجتماعية على اتجاهات السكان بالميل نحو مجتمعات ثانوية أو اقلية في كثير من المجتمعات مثل انتقال السكان السود إلى ضواحي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2026-09-28T10:15:22+00:00</dcterms:created>
  <dcterms:modified xsi:type="dcterms:W3CDTF">2026-09-28T10:15:22+00:00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