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سجلت نسبة تغطية الديون قصيرة الأجل بالأصول المتداولة أعلى مستوى لها في 2021 (1.75)،  مُظهرة قدرة جيدة على السداد. إلا أن هذه النسبة انخفضت في 2022 و2023،  مُشيرًا لتراجع في قدرة الشركة على تغطية ديونها.  وقد وصلت النسبة في 2024 إلى 1.08، وهو انخفاض إضافي يُعزى ربما لزيادة الالتزامات قصيرة الأجل أو انخفاض الأصول المتداولة.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