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تحتل القروض موقعا هاما ضمن بنود المركز المالي باعتبار ان كافة الجهود و القرارات الادارية تستهدف في المقام الاول بناء محفظة قروض و تسهيلات جيدة تتسم بالجودة العالية و تحقق عوائد مرتفعة للمصرف عند اقل مستوى ممكن من المخاطر ،</w:t>
      </w:r>
    </w:p>
    <w:p>
      <w:pPr/>
      <w:r>
        <w:rPr/>
        <w:t xml:space="preserve"> كما تعتبر القروض المورد الاساسي الذي يعتمد عليه المصرف في الحصول على ايراداته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2026-08-16T07:35:59+00:00</dcterms:created>
  <dcterms:modified xsi:type="dcterms:W3CDTF">2026-08-16T07:35:59+00:00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