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5- تأكيد أثر الفردية في الفن،</w:t>
      </w:r>
    </w:p>
    <w:p>
      <w:pPr/>
      <w:r>
        <w:rPr>
          <w:shd w:val="clear" w:fill="eeee80"/>
        </w:rPr>
        <w:t xml:space="preserve"> فقد وثقوا ثقة كبيرة بالفردية،</w:t>
      </w:r>
    </w:p>
    <w:p>
      <w:pPr/>
      <w:r>
        <w:rPr>
          <w:shd w:val="clear" w:fill="eeee80"/>
        </w:rPr>
        <w:t xml:space="preserve"> مؤكدين أن بإمكان الكاتب تصوير مشاعره الخاصة وأخذ مادته الأولية من حياته الشخصية التي يحياها ولذلك تمتعوا بحس مرهف،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2026-09-01T07:08:06+00:00</dcterms:created>
  <dcterms:modified xsi:type="dcterms:W3CDTF">2026-09-01T07:08:06+00:00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