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عدل المقالة الرئيسة: القواسم يعود الشيخ سلطان في نسبه إلى قبيلة القواسم،  ثم انتشرت لتشمل أجزاء من شرق الخليج العربي بساحليه الشمالي والجنوبي،  إضافة للجزر، 17] عدل والده هو الشيخ محمد بن صقر القاسمي الذي تولى حكم إمارة الشارقة لعدة أيام أما والدته فهي الشيخة مريم بنت الشيخ غانم ابن الشيخ سالم بن عبد الله بن سعيد ابن سبت بن مطر بن سلطان بن فارس بن شهوان الشامسي.  وله أخوة غير أشقاء هم الشيخ راشد والشيخ حميد والشيخ علي والشيخة موزة والشيخة علياء والشيخات غاية ونورة وعائشة وعزة. زوجاته وأبناءه  وأنجبت له: 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2026-09-24T15:45:48+00:00</dcterms:created>
  <dcterms:modified xsi:type="dcterms:W3CDTF">2026-09-24T15:45:48+00:00</dcterms:modified>
</cp:coreProperties>
</file>

<file path=docProps/custom.xml><?xml version="1.0" encoding="utf-8"?>
<Properties xmlns="http://schemas.openxmlformats.org/officeDocument/2006/custom-properties" xmlns:vt="http://schemas.openxmlformats.org/officeDocument/2006/docPropsVTypes"/>
</file>