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impact of fast fashion on the environment is a complex issue.</w:t>
      </w:r>
    </w:p>
    <w:p>
      <w:pPr/>
      <w:r>
        <w:rPr/>
        <w:t xml:space="preserve"> It is important for consumers to be aware of the impact of their clothing choices and make more sustainable choices, such as buying second-hand or investing in high-quality, long-lasting pieces. </w:t>
      </w:r>
    </w:p>
    <w:p>
      <w:pPr/>
      <w:r>
        <w:rPr>
          <w:shd w:val="clear" w:fill="eeee80"/>
        </w:rPr>
        <w:t xml:space="preserve">As consumers become more aware of the impact of fast fashion, it is hoped that the industry will shift to more sustainable and ethical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2026-09-14T09:31:12+00:00</dcterms:created>
  <dcterms:modified xsi:type="dcterms:W3CDTF">2026-09-14T09:31:12+00:00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