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another study, Bolgen et al. performed in vivostudies to examine nanofibrous drug delivery systemfor intra-abdominal treatment.90 Both ornidazole (activeantibiotic against anaerobic intestinal bacteria) and bit-eral antibiotic were embedded into biodegradable poly-caprolactone by simply dropping antibiotic solution ontothe membranes.</w:t>
      </w:r>
    </w:p>
    <w:p>
      <w:pPr/>
      <w:r>
        <w:rPr>
          <w:shd w:val="clear" w:fill="eeee80"/>
        </w:rPr>
        <w:t xml:space="preserve">They reported that due to the combinedsynergistic effect of membrane and the antibiotic, thehealing process becomes better and faster.</w:t>
      </w:r>
    </w:p>
    <w:p>
      <w:pPr/>
      <w:r>
        <w:rPr>
          <w:shd w:val="clear" w:fill="eeee80"/>
        </w:rPr>
        <w:t xml:space="preserve">Supaphol et al.successfully prepared ultra-fine fiber mats of celluloseacetate comprising of four model drugs, i.e., naproxen,indomethacin, ibuprofen and sulindac by electrospinning.77Mats of poly(vinyl alcohol) nanofibers with four differenttypes of non-steroidal anti-inflammatory drug with vari-able water solubility; e.g., sodium salicylate, diclofenacsodium, naproxen, and indomethacin were also developedby them for transdermal drug delivery systems.91 Resultsindicate that with an increasing molecular weight of adrug, the rate and amount of drug release decreases.</w:t>
      </w:r>
    </w:p>
    <w:p>
      <w:pPr/>
      <w:r>
        <w:rPr>
          <w:shd w:val="clear" w:fill="eeee80"/>
        </w:rPr>
        <w:t xml:space="preserve">Alsothe drug-loaded mats exhibited better release character-istics as compared to solvent cast films due to a highporosity of the electrospun nonwoven mats.</w:t>
      </w:r>
    </w:p>
    <w:p>
      <w:pPr/>
      <w:r>
        <w:rPr>
          <w:shd w:val="clear" w:fill="eeee80"/>
        </w:rPr>
        <w:t xml:space="preserve">Khil et al.reported that electrospun polyurethane (PU) membranesare useful as wound dressing material because it is ableto absorb wound exudates well, as it does not accumu-late under the covering and does not lead to any type ofwound desiccation.92- 93 Histological examination suggeststhat the epithelialization rate is increased when wounds arecovered with nanofibrous PU membrane.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2026-10-20T16:22:31+00:00</dcterms:created>
  <dcterms:modified xsi:type="dcterms:W3CDTF">2026-10-20T16:22:31+00:00</dcterms:modified>
</cp:coreProperties>
</file>

<file path=docProps/custom.xml><?xml version="1.0" encoding="utf-8"?>
<Properties xmlns="http://schemas.openxmlformats.org/officeDocument/2006/custom-properties" xmlns:vt="http://schemas.openxmlformats.org/officeDocument/2006/docPropsVTypes"/>
</file>