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 الأدب العربي رثاء المدن غرضًا أدبيا في شعره ونثره.</w:t>
      </w:r>
    </w:p>
    <w:p>
      <w:pPr/>
      <w:r>
        <w:rPr>
          <w:shd w:val="clear" w:fill="eeee80"/>
        </w:rPr>
        <w:t xml:space="preserve"> وهو لون من التعبير يعكس طبيعة التقلبات السياسية التي تجتاج عصور الحكم في مراحل مختلفة.</w:t>
      </w:r>
    </w:p>
    <w:p>
      <w:pPr/>
      <w:r>
        <w:rPr>
          <w:shd w:val="clear" w:fill="eeee80"/>
        </w:rPr>
        <w:t xml:space="preserve">وهذا النوع من الرثاء لا يقف في حدود عند رثاء المدن وحدها حين يصيبها الدمار والتخريب ولكنه يتجاوز ذلك إلى رثاء الممالك تارة والعصور تارة أخرى.</w:t>
      </w:r>
    </w:p>
    <w:p>
      <w:pPr/>
      <w:r>
        <w:rPr>
          <w:shd w:val="clear" w:fill="eeee80"/>
        </w:rPr>
        <w:t xml:space="preserve"> بل قد يرثي الدولة بأسرها؛</w:t>
      </w:r>
    </w:p>
    <w:p>
      <w:pPr/>
      <w:r>
        <w:rPr>
          <w:shd w:val="clear" w:fill="eeee80"/>
        </w:rPr>
        <w:t xml:space="preserve"> وقد تميز هذا الغرض من رثاء المدن في الشعر أكثر من تميزه في النثر.</w:t>
      </w:r>
    </w:p>
    <w:p>
      <w:pPr/>
      <w:r>
        <w:rPr>
          <w:shd w:val="clear" w:fill="eeee80"/>
        </w:rPr>
        <w:t xml:space="preserve">ويُعد رثاء المدن من الأغراض الأدبية المحدثة،</w:t>
      </w:r>
    </w:p>
    <w:p>
      <w:pPr/>
      <w:r>
        <w:rPr>
          <w:shd w:val="clear" w:fill="eeee80"/>
        </w:rPr>
        <w:t xml:space="preserve"> ذلك أن الجاهلي لم تكن له مدنٌ يبكي على خرابها،</w:t>
      </w:r>
    </w:p>
    <w:p>
      <w:pPr/>
      <w:r>
        <w:rPr>
          <w:shd w:val="clear" w:fill="eeee80"/>
        </w:rPr>
        <w:t xml:space="preserve"> فهو ينتقل في الصحراء الواسعة من مكان إلى آخر،</w:t>
      </w:r>
    </w:p>
    <w:p>
      <w:pPr/>
      <w:r>
        <w:rPr>
          <w:shd w:val="clear" w:fill="eeee80"/>
        </w:rPr>
        <w:t xml:space="preserve"> وإذا ألم بمدن المناذرة والغساسنة فهو إلمام عابر.</w:t>
      </w:r>
    </w:p>
    <w:p>
      <w:pPr/>
      <w:r>
        <w:rPr>
          <w:shd w:val="clear" w:fill="eeee80"/>
        </w:rPr>
        <w:t xml:space="preserve"> ولعل بكاء الجاهلي على الربع الدارس والطلل الماحل هو لون من هذه العاطفة المعبّرة عن درس المكان وخرابه.</w:t>
      </w:r>
    </w:p>
    <w:p>
      <w:pPr/>
      <w:r>
        <w:rPr>
          <w:shd w:val="clear" w:fill="eeee80"/>
        </w:rPr>
        <w:t xml:space="preserve"> عرف المشرق قدرا من هذا الرثاء شعرًا،</w:t>
      </w:r>
    </w:p>
    <w:p>
      <w:pPr/>
      <w:r>
        <w:rPr>
          <w:shd w:val="clear" w:fill="eeee80"/>
        </w:rPr>
        <w:t xml:space="preserve"> عندما تعرضت عاصمة الخلافة العباسية للتدمير والخراب خلال الفتنة التي وقعت بين الأمين والمأمون.</w:t>
      </w:r>
    </w:p>
    <w:p>
      <w:pPr/>
      <w:r>
        <w:rPr>
          <w:shd w:val="clear" w:fill="eeee80"/>
        </w:rPr>
        <w:t xml:space="preserve"> فنهبت بغداد وهتكت أعراض أهلها واقتحمت دورهم،</w:t>
      </w:r>
    </w:p>
    <w:p>
      <w:pPr/>
      <w:r>
        <w:rPr>
          <w:shd w:val="clear" w:fill="eeee80"/>
        </w:rPr>
        <w:t xml:space="preserve"> ووجد السّفلة والأوباش مناخًا صالحا ليعيثوا فسادا ودمارا.</w:t>
      </w:r>
    </w:p>
    <w:p>
      <w:pPr/>
      <w:r>
        <w:rPr>
          <w:shd w:val="clear" w:fill="eeee80"/>
        </w:rPr>
        <w:t xml:space="preserve"> وقد عبر الشاعر أبو يعقوب إسحاق الخريمي،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2026-10-19T03:55:43+00:00</dcterms:created>
  <dcterms:modified xsi:type="dcterms:W3CDTF">2026-10-19T03:55:43+00:00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