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أن الإجراء الذي اتخذته EN في الإبلاغ عن سوء المعاملة يتجاوز استقلالية الفتاة.  ونظراً لعمر الفتاة وسياق الاعتداء عليها،  حيث أن الفتاة في وضع ضعيف وغير قادرة على الدفاع عن نفسها بأمان.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