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الرضا في مجال العمل الطبي في قانون الصحة بمصطلح "الموافقة" وأكد على أن تكون حرة ومستنيره أو متبصرة،</w:t>
      </w:r>
    </w:p>
    <w:p>
      <w:pPr/>
      <w:r>
        <w:rPr>
          <w:shd w:val="clear" w:fill="eeee80"/>
        </w:rPr>
        <w:t xml:space="preserve"> 4/360 "الموافقة الحرة والمستنيرة.</w:t>
      </w:r>
    </w:p>
    <w:p>
      <w:pPr/>
      <w:r>
        <w:rPr>
          <w:shd w:val="clear" w:fill="eeee80"/>
        </w:rPr>
        <w:t xml:space="preserve"> وفي مدونة أخلاقيات الطب موافقة حرة ومتبصرة» في المادة 42 وكذلك مصطلحات "حر ومتبصر أو مستنير" في حكم واحد في المادة 44،</w:t>
      </w:r>
    </w:p>
    <w:p>
      <w:pPr/>
      <w:r>
        <w:rPr>
          <w:shd w:val="clear" w:fill="eeee80"/>
        </w:rPr>
        <w:t xml:space="preserve"> وهي مصطلحات جميعها تؤكد أن يكون الرضا خاليا من كل عيوب الإرادة،</w:t>
      </w:r>
    </w:p>
    <w:p>
      <w:pPr/>
      <w:r>
        <w:rPr>
          <w:shd w:val="clear" w:fill="eeee80"/>
        </w:rPr>
        <w:t xml:space="preserve"> فلا يكون نتيجة غش أو تدليس أو غلط أو خداع الرضا من قيمته القانونية مهما كانت طبيعته.</w:t>
      </w:r>
    </w:p>
    <w:p>
      <w:pPr/>
      <w:r>
        <w:rPr>
          <w:shd w:val="clear" w:fill="eeee80"/>
        </w:rPr>
        <w:t xml:space="preserve"> أو إكراه أي أن تكون الإرادة حرة خالية مما يعيها،</w:t>
      </w:r>
    </w:p>
    <w:p>
      <w:pPr/>
      <w:r>
        <w:rPr>
          <w:shd w:val="clear" w:fill="eeee80"/>
        </w:rPr>
        <w:t xml:space="preserve"> لأن أي من عيوب الإرادة يضر</w:t>
      </w:r>
    </w:p>
    <w:p>
      <w:pPr/>
      <w:r>
        <w:rPr>
          <w:shd w:val="clear" w:fill="eeee80"/>
        </w:rPr>
        <w:t xml:space="preserve">ثانيا- أن يكون الرضا حرا ومتبصرا،</w:t>
      </w:r>
    </w:p>
    <w:p>
      <w:pPr/>
      <w:r>
        <w:rPr>
          <w:shd w:val="clear" w:fill="eeee80"/>
        </w:rPr>
        <w:t xml:space="preserve"> وليس نتيجة استعمال العنف ضد المجني عليه أو ضد إرادته ).</w:t>
      </w:r>
    </w:p>
    <w:p>
      <w:pPr/>
      <w:r>
        <w:rPr>
          <w:shd w:val="clear" w:fill="eeee80"/>
        </w:rPr>
        <w:t xml:space="preserve"> كما هو مقرر في المادة 42 من المدونة للمريض حرية اختيار طبيبه .</w:t>
      </w:r>
    </w:p>
    <w:p>
      <w:pPr/>
      <w:r>
        <w:rPr>
          <w:shd w:val="clear" w:fill="eeee80"/>
        </w:rPr>
        <w:t xml:space="preserve"> وتمثل حرية الاختيار هذه مبدأ أساسيا تقوم عليه العلاقة بين الطبيب والمريض»،</w:t>
      </w:r>
    </w:p>
    <w:p>
      <w:pPr/>
      <w:r>
        <w:rPr>
          <w:shd w:val="clear" w:fill="eeee80"/>
        </w:rPr>
        <w:t xml:space="preserve"> وأن لا يكون نتيجة الاستعمال العنف والتهديد بالقوة والاحتيال والإكراه وإساءة استعمال السلطة وغيرها،</w:t>
      </w:r>
    </w:p>
    <w:p>
      <w:pPr/>
      <w:r>
        <w:rPr>
          <w:shd w:val="clear" w:fill="eeee80"/>
        </w:rPr>
        <w:t xml:space="preserve"> وهي صور تجعل الرضا غير صحيح ومعيب نتيجة لها،</w:t>
      </w:r>
    </w:p>
    <w:p>
      <w:pPr/>
      <w:r>
        <w:rPr>
          <w:shd w:val="clear" w:fill="eeee80"/>
        </w:rPr>
        <w:t xml:space="preserve"> فتنص المادة 303 مكرر 212 لا يعتد برضاء الضحية متى استخدم الفاعل أيا من الوسائل المبينة في المادة 303 مكرر 4 (الفقرة الأولى (0) من هذا القانون».</w:t>
      </w:r>
    </w:p>
    <w:p>
      <w:pPr/>
      <w:r>
        <w:rPr>
          <w:shd w:val="clear" w:fill="eeee80"/>
        </w:rPr>
        <w:t xml:space="preserve"> أو أن يكون سابقا عليه،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2026-09-13T05:45:01+00:00</dcterms:created>
  <dcterms:modified xsi:type="dcterms:W3CDTF">2026-09-13T05:45:01+00:00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