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highlighted in this report, strategic alliances, CSR, and economic policies retain strategic importance for improving the health and outward growth of the GCC.Altogether, these features enable the GCC to face changing global financial situations and decrease dependence on oil resources, resulting in a stable non-oil diversification outlook.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