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robustness of the method was evaluated in three different experiments.</w:t>
      </w:r>
    </w:p>
    <w:p>
      <w:pPr/>
      <w:r>
        <w:rPr>
          <w:shd w:val="clear" w:fill="eeee80"/>
        </w:rPr>
        <w:t xml:space="preserve">In the first experiment, the sample weight was varied in the range of 120-180 mg.  The results obtained for the FA composition in the tested sample confirmed that a slight change in sample weight does not affect the results.</w:t>
      </w:r>
    </w:p>
    <w:p>
      <w:pPr/>
      <w:r>
        <w:rPr>
          <w:shd w:val="clear" w:fill="eeee80"/>
        </w:rPr>
        <w:t xml:space="preserve">The resolution of all peaks was slightly different in the experiments compared to the chromatograms obtained under the specified conditions but within the acceptable range.</w:t>
      </w:r>
    </w:p>
    <w:p>
      <w:pPr/>
      <w:r>
        <w:rPr>
          <w:shd w:val="clear" w:fill="eeee80"/>
        </w:rPr>
        <w:t xml:space="preserve">The experiments demonstrate that it is possible to increase recovery by using hexane to wash samples twice after the dispersion process without significant loss of the FAMEs produced although this was not done for technical reasons for the routine sample dispersion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2026-11-04T10:02:20+00:00</dcterms:created>
  <dcterms:modified xsi:type="dcterms:W3CDTF">2026-11-04T10:02:20+00:00</dcterms:modified>
</cp:coreProperties>
</file>

<file path=docProps/custom.xml><?xml version="1.0" encoding="utf-8"?>
<Properties xmlns="http://schemas.openxmlformats.org/officeDocument/2006/custom-properties" xmlns:vt="http://schemas.openxmlformats.org/officeDocument/2006/docPropsVTypes"/>
</file>