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وما عالم الأجسادِ إِلَّا المثال المحسوس للعالم الذي وراء الحس .</w:t>
      </w:r>
    </w:p>
    <w:p>
      <w:pPr/>
      <w:r>
        <w:rPr>
          <w:shd w:val="clear" w:fill="eeee80"/>
        </w:rPr>
        <w:t xml:space="preserve"> فهذه الكلمات التي تقرؤها الآن ليست سوى مثال محسوس لفكر كاتبها التلاقح الجارية في عالم الأجساد المحجوبة عن الجسسٌ .</w:t>
      </w:r>
    </w:p>
    <w:p>
      <w:pPr/>
      <w:r>
        <w:rPr/>
        <w:t xml:space="preserve"> أَفَلَا يَحِقُ لنا القَولُ بِأَنَّ سُنَّةَ هي عَينُ السُّنَّةِ الجارية في عالم الأرواح ؟ وإن تك يا قارئي مِمَّنْ يُنكِرُونَ الروحَ فَقُلْ عالم الأفكار» بدلًا من عالم الأرواح»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2026-10-14T15:23:54+00:00</dcterms:created>
  <dcterms:modified xsi:type="dcterms:W3CDTF">2026-10-14T15:23:54+00:00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