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يكفي ان يكون المنقول والعقار مملوكين لشخص واحد،  أو يخصص المنقول لاستغلال العقار كآلة الري أوالمواشي بالنسبة للمزرعة والشاحنة التي تنقل منتجات المصنع،  على أنه يجب أن يكون تخصيص المنقول لخدمة العقار أو استغلاله وليس لخدمة مالك العقار؛  فالسيارة التي يستعملها صاحب المصنع أو الدابة التي يركبها صاحب الأرض الزراعية ليسا عقاراً بالتخصيص لأنهما ليسا مخصصين لخدمة العقار بل لخدمة صاحب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