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علاقة إيجابية بين مستوى ادخار الدولة ومعدل نموها الاقتصادي: إذ تؤدي عملية الادخار إلى تراكم رأس المال الثابت الذي يمكن استخدامه في تمويل الكثير من الاستثمارات المحلية كالاستثمار في التكنولوجيا،</w:t>
      </w:r>
    </w:p>
    <w:p>
      <w:pPr/>
      <w:r>
        <w:rPr>
          <w:shd w:val="clear" w:fill="eeee80"/>
        </w:rPr>
        <w:t xml:space="preserve"> وغيرهما من الأنشطة المعززة للقدرة الإنتاجية للاقتصاد.</w:t>
      </w:r>
    </w:p>
    <w:p>
      <w:pPr/>
      <w:r>
        <w:rPr>
          <w:shd w:val="clear" w:fill="eeee80"/>
        </w:rPr>
        <w:t xml:space="preserve">وتظهر علاقة السبب والنتيجة الإيجابية بين المدخرات المحلية والنمو الاقتصادي في الاقتصادات المتقدمة؛</w:t>
      </w:r>
    </w:p>
    <w:p>
      <w:pPr/>
      <w:r>
        <w:rPr>
          <w:shd w:val="clear" w:fill="eeee80"/>
        </w:rPr>
        <w:t xml:space="preserve"> إذ تشكل المدخرات المحلية المرتفعة للغاية مصدراً أساسياً لتمويل الاستثمار المحلي وعامل النمو الاقتصادي دون ضرورة لاستخدام الاستثمار الأجنبي.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2026-11-03T10:08:40+00:00</dcterms:created>
  <dcterms:modified xsi:type="dcterms:W3CDTF">2026-11-03T10:08:40+00:00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