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Local Officials AgentsTo be included in the foreign domestic, it must meet the requirements or services required.Products are not included in the foreign germs by U.S. companies in the United States.Second, the good or service must be produced over a period of time, regardless of when it was sold.For example, as a result, cars that were reported this year but sold next year would be reported in the domestic month of having to report that year.Finally, the good or service must be produced within the nation's borders.Average, it must be final and not final.For example, a used shirt is an original model of the industry; the shirt itself is a final copy.Domestic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