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تتسارع فيه وتيرة التقدم العلمي والتكنولوجي،  تعتبر التقنية الحيوية مجالًا متعدد التخصصات يجمع بين العلوم البيولوجية والتكنولوجيا لتطوير منتجات وتقنيات تسهم في تحسين جودة الحياة.  تأتي الاستراتيجية الوطنية للتقنية الحيوية في المملكة العربية السعودية كخطوة استباقية لتعزيز مكانة المملكة كمركز عالمي للابتكار في هذا المجال الحيوي.  وذلك من خلال تطوير قطاع التقنية الحيوية وتعزيز قدراته التنافسية.  تسعى المملكة من خلال هذه الاستراتيجية إلى تحقيق عدة أهداف،      تأتي أهمية الاستراتيجية من كونها تمثل رؤية المملكة للمستقبل في مجال يحمل إمكانات هائلة للتأثير في الاقتصاد الوطني والرفاه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