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غسيل الأموال هو تجهيز العائدات الإجرامية لإخفاء مصدرها غير المشروع.</w:t>
      </w:r>
    </w:p>
    <w:p>
      <w:pPr/>
      <w:r>
        <w:rPr>
          <w:shd w:val="clear" w:fill="eeee80"/>
        </w:rPr>
        <w:t xml:space="preserve"> يتم غسيل الأموال عبر مراحل معقدة لإخفاء مصدر الأموال وجعلها قابلة للاستخدام.</w:t>
      </w:r>
    </w:p>
    <w:p>
      <w:pPr/>
      <w:r>
        <w:rPr/>
        <w:t xml:space="preserve"> يعتبر غسيل الأموال جريمة اقتصادية تهدف إلى إضفاء شرعية قانونية على أموال محرمة، لغرض حيازتها أو التصرف فيها أو إدارتها أو حفظها أو استبدالها أو إيداعها أو استثمارها أو تحويلها أو نقلها أو التلاعب في قيمتها إذا كانت متحصلة من جرائم مثل زراعة وتصنيع النباتات المخدرة أو الجواهر والمواد المخدرة وجلبها وتصديرها والاتجار فيها، واحتجاز الأشخاص وجرائم الإرهاب وتمويلها، والنصب وخيانة الأمانة والتدليس، والجنايات والجنح المضرة بأمن الدولة من جهة الخارج والداخل، وجرائم المسكوكات والزيوف المزورة والتزوير.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2026-10-26T16:51:42+00:00</dcterms:created>
  <dcterms:modified xsi:type="dcterms:W3CDTF">2026-10-26T16:51:42+00:00</dcterms:modified>
</cp:coreProperties>
</file>

<file path=docProps/custom.xml><?xml version="1.0" encoding="utf-8"?>
<Properties xmlns="http://schemas.openxmlformats.org/officeDocument/2006/custom-properties" xmlns:vt="http://schemas.openxmlformats.org/officeDocument/2006/docPropsVTypes"/>
</file>