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نص المشرع الجزائري في القانون 24/06 المؤرخ في 28 أبريل 2024 المعدل و المتمم لقانون العقوبات على إمكانية استبدال عقوبة الحبس القصيرة المدة بعقوبة العمل للنفع العام و عقوبة الوضع تحت المراقبة الالكترونية</w:t>
      </w:r>
    </w:p>
    <w:p>
      <w:pPr/>
      <w:r>
        <w:rPr>
          <w:shd w:val="clear" w:fill="eeee80"/>
        </w:rPr>
        <w:t xml:space="preserve">و بالتالي فإن عقوبة العمل للنفع العام و عقوبة الوضع تحت المراقبة الاكترونية هما عقوبتين بديلتين لعقوبة الحبس</w:t>
      </w:r>
    </w:p>
    <w:p>
      <w:pPr/>
      <w:r>
        <w:rPr>
          <w:shd w:val="clear" w:fill="eeee80"/>
        </w:rPr>
        <w:t xml:space="preserve">أهمية عقوبة العمل للنفع العام و عقوبة الوضع تحت المراقبة الاكترونية 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2026-09-08T13:13:56+00:00</dcterms:created>
  <dcterms:modified xsi:type="dcterms:W3CDTF">2026-09-08T13:13:56+00:00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