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 قاعدة القانون توضع مجردة،</w:t>
      </w:r>
    </w:p>
    <w:p>
      <w:pPr/>
      <w:r>
        <w:rPr/>
        <w:t xml:space="preserve"> ولكي تطبق على الواقع الحي،</w:t>
      </w:r>
    </w:p>
    <w:p>
      <w:pPr/>
      <w:r>
        <w:rPr>
          <w:shd w:val="clear" w:fill="eeee80"/>
        </w:rPr>
        <w:t xml:space="preserve"> فغالبا ما تحتاج إلى تفسيرها،</w:t>
      </w:r>
    </w:p>
    <w:p>
      <w:pPr/>
      <w:r>
        <w:rPr/>
        <w:t xml:space="preserve"> فيصدر تشريعا تصيريا وهذا النوع من التفسير نادر في الواقع،</w:t>
      </w:r>
    </w:p>
    <w:p>
      <w:pPr/>
      <w:r>
        <w:rPr>
          <w:shd w:val="clear" w:fill="eeee80"/>
        </w:rPr>
        <w:t xml:space="preserve"> كما يقوم بهذه المهمة الفقه مما يساهم في تكوين اتجاهات فكرية تساعد القاضي في تطبيقه للقانون،</w:t>
      </w:r>
    </w:p>
    <w:p>
      <w:pPr/>
      <w:r>
        <w:rPr>
          <w:shd w:val="clear" w:fill="eeee80"/>
        </w:rPr>
        <w:t xml:space="preserve"> والمشرع في إعداده للقانون وتعديله بما يتناسب مع تطور المجتمع،</w:t>
      </w:r>
    </w:p>
    <w:p>
      <w:pPr/>
      <w:r>
        <w:rPr>
          <w:shd w:val="clear" w:fill="eeee80"/>
        </w:rPr>
        <w:t xml:space="preserve"> لكن التفسير بالمعنى الصحيح للكلمة غاليا ما يقوم به القضاء من خلال اجتهاده لإعطاء القاعدة معناها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2026-09-11T01:09:33+00:00</dcterms:created>
  <dcterms:modified xsi:type="dcterms:W3CDTF">2026-09-11T01:09:33+00:00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