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تنبعث العديد من الغازات مع المواد المنصهرة من البراكين،</w:t>
      </w:r>
    </w:p>
    <w:p>
      <w:pPr/>
      <w:r>
        <w:rPr>
          <w:shd w:val="clear" w:fill="eeee80"/>
        </w:rPr>
        <w:t xml:space="preserve"> ويُشكّل بخار الماء النسبة الأكبر من الغازات بالإضافة إلى غازات أخرى مثل ثاني أكسيد الكربون والكلور والفلور،</w:t>
      </w:r>
    </w:p>
    <w:p>
      <w:pPr/>
      <w:r>
        <w:rPr>
          <w:shd w:val="clear" w:fill="eeee80"/>
        </w:rPr>
        <w:t xml:space="preserve"> والتي تنبعث على شكل غازات حمضية بتراكيز مختلفة،</w:t>
      </w:r>
    </w:p>
    <w:p>
      <w:pPr/>
      <w:r>
        <w:rPr>
          <w:shd w:val="clear" w:fill="eeee80"/>
        </w:rPr>
        <w:t xml:space="preserve"> فالغازات الحمضية ذات التركيز المنخفض تُسبّب ضرراً كبيراً للجلد والعين والجهاز التنفسي كما أنّها تقضي على النباتات،</w:t>
      </w:r>
    </w:p>
    <w:p>
      <w:pPr/>
      <w:r>
        <w:rPr>
          <w:shd w:val="clear" w:fill="eeee80"/>
        </w:rPr>
        <w:t xml:space="preserve"> بينما تؤدّي الغازات الحمضية ذات التراكيز المرتفعة إلى تغيير المناخ الجوي العالمي وقد يصل تأثيرها إلى إذابة المعادن،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2026-08-30T06:35:46+00:00</dcterms:created>
  <dcterms:modified xsi:type="dcterms:W3CDTF">2026-08-30T06:35:46+00:00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