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السادس من نظام تحصيل الضرائب المباشرة في المملكة قواعد احتساب الدخل الخاضع للضريبة والمعفي منها.  يشمل الدخل الخاضع أرباح بيع الأصول غير المستهلكة،  وتحويل استخدامها لأغراض شخصية، وتبادلها بأصول أخرى،  وحتى الإهداء أو الإرث.  أما الدخل غير الخاضع، فيشمل أرباح بيع الأصول المستهلكة، والتخلص الإلزامي من الأصل مع استبداله خلال سنة، ونقل الأصول بين شركات المجموعة.  الدخل المعفى يشمل مكاسب تداول الأوراق المالية (بشرط معين)،  أرباح تخلص من ممتلكات شخصية، توزيعات استثمارات شركة الأموال (بنسبة ومدة معينة)، أرباح خسائر تحويل العملة، وبعض التعويضات.  يُحدد الوعاء الضريبي بناءً على نوع المُكلّف (فرد، شركة، إلخ) وطبيعة النشاط، مع حسم المصاريف الجائزة كالمصاريف التشغيلية العادية، عوائد القروض (بحدود)، استهلاك الأصول، مصاريف الإصلاحات،  والتبرعات الخيرية (بشروط).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