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يكشف التحليل الرأسي عن مدى تقدم الشركة أو انخفاضها ،  كما يكشف عن قدرة الشركة على التمويل وكذلك حجم استثماراتها من خلال حساب نسبة حقوق الملكية إلى الأصول وتأثير ذلك على المركز المالي للشركة وصافي الأرباح.  يوضح مدى فعالية الإدارة في استخدام أصول الشركة ومواردها لتحقيق أقصى قدر من الربح.    يوضح التحليل الأفقي تقدم الشركة أو تراجعها مقارنة بسنة الأساس،  ولكن لا يكفي الحكم على المؤشر الجيد إذا كان النسيان موجها نحو بنود الأصول والإيرادات،   حيث يجب النظر في تحليل باقي البنود المرتبطة بكل اتجاه وقياس مدى تأثير هذه الزيادة أو النقصان على باقي البنود ومقابلها يتم الحكم على المؤشر الجيد أو السيئ.    هناك شذوذ في التحليل الأفقي حيث لا تعبر الإشارة المالية لنسيان التغيير عن الانخفاض في هذا البند مقارنة بالعام السابق ،  بل تعبر عن زيادة كما هو الحال في يد احتياطي تقييم النقد الأجنبي في الميزانية العمومية.  يحدث هذا الموقف عندما تكون قيمة الصنف سالبة في سنة الأساس وتكون القيمة موجية لنفس البند في سنة التغيير أي في حال تحول الخسارة إلى رياح ويجب مراعاة هذه الحالة في التحليل من خلال الرجوع إلى قيم هذا البند في الشركة خلال العامين.    تتعارض نتائج كل من التحليلات الأفقية والرأسية في بعض الأحيان ،  ولكن هذا متوقع لأن كل تحليل يركز على جانب مختلف.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