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يتناول هذا المعيار الدولي للمراجعة مسؤوليات المراجع فيما يتعلق بالأحداث الالحقة عند مراجعة القوائم المالية.</w:t>
      </w:r>
    </w:p>
    <w:p>
      <w:pPr/>
      <w:r>
        <w:rPr>
          <w:shd w:val="clear" w:fill="eeee80"/>
        </w:rPr>
        <w:t xml:space="preserve"> ولكنه لا يتناول الأمور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2026-08-30T19:28:08+00:00</dcterms:created>
  <dcterms:modified xsi:type="dcterms:W3CDTF">2026-08-30T19:28:08+00:00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