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نظراً للأخطار التي كانت تحيط بمنطقة الخليج العربي،</w:t>
      </w:r>
    </w:p>
    <w:p>
      <w:pPr/>
      <w:r>
        <w:rPr>
          <w:shd w:val="clear" w:fill="eeee80"/>
        </w:rPr>
        <w:t xml:space="preserve"> ولتشابك المصالح والسعي لوحدة العمل العربي الخليجي ضمن أي شكل أو صورة لتحقيق الأمن والاستقرار وتلبية آمال وطموحات شعب الخليج.</w:t>
      </w:r>
    </w:p>
    <w:p>
      <w:pPr/>
      <w:r>
        <w:rPr/>
        <w:t xml:space="preserve"> ونتيجة للقاءات والزيارات المتبادلة مع إخوانه قادة دول الخليج العربي،</w:t>
      </w:r>
    </w:p>
    <w:p>
      <w:pPr/>
      <w:r>
        <w:rPr>
          <w:shd w:val="clear" w:fill="eeee80"/>
        </w:rPr>
        <w:t xml:space="preserve"> جاء إعلان قيام مجلس التعاون لدول الخليج العربية من أبوظبي يوم 25 مايو 1981،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2026-10-17T20:35:56+00:00</dcterms:created>
  <dcterms:modified xsi:type="dcterms:W3CDTF">2026-10-17T20:35:56+00:00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