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 ضعف الهياكل التجارية و تدمير معظمها مثل الجسور </w:t>
      </w:r>
    </w:p>
    <w:p>
      <w:pPr/>
      <w:r>
        <w:rPr>
          <w:shd w:val="clear" w:fill="eeee80"/>
        </w:rPr>
        <w:t xml:space="preserve">* ضعف التجارة الداخلية و الخارجية من حيث الحجم و التنظيم الاداري </w:t>
      </w:r>
    </w:p>
    <w:p>
      <w:pPr/>
      <w:r>
        <w:rPr>
          <w:shd w:val="clear" w:fill="eeee80"/>
        </w:rPr>
        <w:t xml:space="preserve">* طبيعة المبادلات : الصادرات مواد خام و نقدية ،</w:t>
      </w:r>
    </w:p>
    <w:p>
      <w:pPr/>
      <w:r>
        <w:rPr>
          <w:shd w:val="clear" w:fill="eeee80"/>
        </w:rPr>
        <w:t xml:space="preserve"> واردات : غذائية و مواد تجهيز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2026-09-02T12:18:36+00:00</dcterms:created>
  <dcterms:modified xsi:type="dcterms:W3CDTF">2026-09-02T12:18:36+00:00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