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اتخذت السياسة ضمن المجموعات وفيما بينها أشكالاً متعددة؛</w:t>
      </w:r>
    </w:p>
    <w:p>
      <w:pPr/>
      <w:r>
        <w:rPr>
          <w:shd w:val="clear" w:fill="eeee80"/>
        </w:rPr>
        <w:t xml:space="preserve"> ويمكننا تعلم الكثير من فحص موسع للتفاعل بين Poleis الدول - المدن في عالم الإغريق القدامى،</w:t>
      </w:r>
    </w:p>
    <w:p>
      <w:pPr/>
      <w:r>
        <w:rPr>
          <w:shd w:val="clear" w:fill="eeee80"/>
        </w:rPr>
        <w:t xml:space="preserve"> أو الإمبراطورية التي بناها الرومان.</w:t>
      </w:r>
    </w:p>
    <w:p>
      <w:pPr/>
      <w:r>
        <w:rPr/>
        <w:t xml:space="preserve"> إذا كان علينا فحص التطور التاريخي لنظام السياسة الدولية الحديث فإننا نحتاج لفحص قرون أوروبا قبل اتفاقية سلام وستفاليا وبعدها.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2026-10-21T12:12:53+00:00</dcterms:created>
  <dcterms:modified xsi:type="dcterms:W3CDTF">2026-10-21T12:12:53+00:00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