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انتشار أزمة الديون في الدول النامية وتفاقم الأزمات المالية خاصة في القطاع المصرفي بالدول الصناعية الكبرى.   جاءت لجنة بازل لتلبية هذا الغرض،  وتمثل إحدى اللجان التي شُكِّلَت من قِبَل بنك التسويات الدولي.  تأسست اللجنة في عام ١٩٧٤ بهدف ضمان استقرار وسلامة النظام المصرفي وحماية البنوك،  وقد أصدرت عدة اتفاقيات بهذا الصدد بعد ذلك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2026-11-06T18:35:24+00:00</dcterms:created>
  <dcterms:modified xsi:type="dcterms:W3CDTF">2026-11-06T18:35:24+00:00</dcterms:modified>
</cp:coreProperties>
</file>

<file path=docProps/custom.xml><?xml version="1.0" encoding="utf-8"?>
<Properties xmlns="http://schemas.openxmlformats.org/officeDocument/2006/custom-properties" xmlns:vt="http://schemas.openxmlformats.org/officeDocument/2006/docPropsVTypes"/>
</file>