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لكن رغم ذلك قد لا يدرك العملاء المنافع أو المكافآت جراء مساهمتهم الفعالة،</w:t>
      </w:r>
    </w:p>
    <w:p>
      <w:pPr/>
      <w:r>
        <w:rPr>
          <w:shd w:val="clear" w:fill="eeee80"/>
        </w:rPr>
        <w:t xml:space="preserve"> ما لم تعمل المنظمة على جعل هذه المنافع واضحة لهم،</w:t>
      </w:r>
    </w:p>
    <w:p>
      <w:pPr/>
      <w:r>
        <w:rPr>
          <w:shd w:val="clear" w:fill="eeee80"/>
        </w:rPr>
        <w:t xml:space="preserve"> ويجب أن تدرك المنظمة أيضاً أنه لا يتم تحفيز جميع العملاء بنوع واحد من المكافآت فالبعض قد يقدر مكافأة توفير الوقت لأداء أدوارهم بفاعلية وآخرون قد يقدرون التوفيرات المالية.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2026-10-12T04:38:49+00:00</dcterms:created>
  <dcterms:modified xsi:type="dcterms:W3CDTF">2026-10-12T04:38:49+00:00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