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واشراك المواطنين على نطاق أوسع في النظام المالي الرسمي للدولة،  وضمان التنمية الاقتصادية المستدامة للدول،  فحسب البنك الدولي يعتبر تعميم الشمول المالي ونشره بين جميع فئات المجتمع،  والتي تؤدي الى تحسين نوعية الحياة خاصة في الدول الفقيرة.        وقد أدت الابتكارات في التكنولوجيا ونماذج الأعمال الى ظهور الخدمات المالية الرقمية،  والتي تعرف على أنها العصر الصناعي الرئيسي الرابع الذي يتميز بدمج التقنيات المالية الرقمية كحلول تفصل بين المجالات المادية والرقمية،  وكان ذلك بظهور شركات التكنولوجيا التي وسعت من الخدمات المالية والمصرفية وتحولت نحو الأقتصاد الرقمي بإدخال تقنيات مالية عابرة للحدود،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